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晋江市市场监督管理局</w:t>
      </w:r>
    </w:p>
    <w:p>
      <w:pPr>
        <w:pStyle w:val="3"/>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行政处罚决定书</w:t>
      </w:r>
    </w:p>
    <w:p>
      <w:pPr>
        <w:tabs>
          <w:tab w:val="left" w:pos="2725"/>
        </w:tabs>
        <w:spacing w:beforeLines="50" w:afterLines="50" w:line="560" w:lineRule="exact"/>
        <w:jc w:val="center"/>
        <w:rPr>
          <w:rFonts w:ascii="仿宋" w:hAnsi="仿宋" w:eastAsia="仿宋" w:cs="仿宋"/>
          <w:sz w:val="32"/>
          <w:szCs w:val="32"/>
        </w:rPr>
      </w:pPr>
      <w:r>
        <w:rPr>
          <w:rFonts w:hint="eastAsia" w:ascii="仿宋" w:hAnsi="仿宋" w:eastAsia="仿宋" w:cs="仿宋"/>
          <w:sz w:val="32"/>
          <w:szCs w:val="32"/>
        </w:rPr>
        <w:t>晋市监处罚〔2025〕19-01号</w:t>
      </w:r>
    </w:p>
    <w:p>
      <w:pPr>
        <w:spacing w:line="380" w:lineRule="exact"/>
        <w:rPr>
          <w:rFonts w:ascii="仿宋" w:hAnsi="仿宋" w:eastAsia="仿宋" w:cs="仿宋"/>
          <w:sz w:val="32"/>
          <w:szCs w:val="32"/>
          <w:u w:val="single"/>
        </w:rPr>
      </w:pPr>
      <w:r>
        <w:rPr>
          <w:rFonts w:hint="eastAsia" w:ascii="仿宋" w:hAnsi="仿宋" w:eastAsia="仿宋" w:cs="仿宋"/>
          <w:sz w:val="32"/>
          <w:szCs w:val="32"/>
        </w:rPr>
        <w:t>当事人：</w:t>
      </w:r>
      <w:r>
        <w:rPr>
          <w:rFonts w:hint="eastAsia" w:ascii="仿宋" w:hAnsi="仿宋" w:eastAsia="仿宋" w:cs="仿宋"/>
          <w:sz w:val="32"/>
          <w:szCs w:val="32"/>
          <w:u w:val="single"/>
        </w:rPr>
        <w:t>晋江市陈埭镇茂全正糕点加工小作坊</w:t>
      </w:r>
    </w:p>
    <w:p>
      <w:pPr>
        <w:spacing w:line="380" w:lineRule="exact"/>
        <w:rPr>
          <w:rFonts w:hint="eastAsia" w:ascii="仿宋" w:hAnsi="仿宋" w:eastAsia="仿宋" w:cs="仿宋"/>
          <w:sz w:val="32"/>
          <w:szCs w:val="32"/>
        </w:rPr>
      </w:pPr>
      <w:r>
        <w:rPr>
          <w:rFonts w:hint="eastAsia" w:ascii="仿宋" w:hAnsi="仿宋" w:eastAsia="仿宋" w:cs="仿宋"/>
          <w:sz w:val="32"/>
          <w:szCs w:val="32"/>
        </w:rPr>
        <w:t>主体资格证照名称：</w:t>
      </w:r>
      <w:r>
        <w:rPr>
          <w:rFonts w:hint="eastAsia" w:ascii="仿宋" w:hAnsi="仿宋" w:eastAsia="仿宋" w:cs="仿宋"/>
          <w:sz w:val="32"/>
          <w:szCs w:val="32"/>
          <w:u w:val="single"/>
        </w:rPr>
        <w:t>营业执照</w:t>
      </w:r>
      <w:r>
        <w:rPr>
          <w:rFonts w:hint="eastAsia" w:ascii="仿宋" w:hAnsi="仿宋" w:eastAsia="仿宋" w:cs="仿宋"/>
          <w:sz w:val="32"/>
          <w:szCs w:val="32"/>
        </w:rPr>
        <w:t xml:space="preserve"> </w:t>
      </w:r>
    </w:p>
    <w:p>
      <w:pPr>
        <w:spacing w:line="380" w:lineRule="exact"/>
        <w:rPr>
          <w:rFonts w:hint="eastAsia" w:ascii="仿宋" w:hAnsi="仿宋" w:eastAsia="仿宋" w:cs="仿宋"/>
          <w:sz w:val="32"/>
          <w:szCs w:val="32"/>
          <w:u w:val="single"/>
        </w:rPr>
      </w:pPr>
      <w:r>
        <w:rPr>
          <w:rFonts w:hint="eastAsia" w:ascii="仿宋" w:hAnsi="仿宋" w:eastAsia="仿宋" w:cs="仿宋"/>
          <w:sz w:val="32"/>
          <w:szCs w:val="32"/>
        </w:rPr>
        <w:t>统一社会信用代码：</w:t>
      </w:r>
      <w:r>
        <w:rPr>
          <w:rFonts w:hint="eastAsia" w:ascii="仿宋" w:hAnsi="仿宋" w:eastAsia="仿宋" w:cs="仿宋"/>
          <w:sz w:val="32"/>
          <w:szCs w:val="32"/>
          <w:u w:val="single"/>
        </w:rPr>
        <w:t xml:space="preserve">92350582MA3182DQ8U </w:t>
      </w:r>
    </w:p>
    <w:p>
      <w:pPr>
        <w:spacing w:line="380" w:lineRule="exact"/>
        <w:rPr>
          <w:rFonts w:hint="eastAsia" w:ascii="仿宋" w:hAnsi="仿宋" w:eastAsia="仿宋" w:cs="仿宋"/>
          <w:sz w:val="32"/>
          <w:szCs w:val="32"/>
          <w:u w:val="single"/>
        </w:rPr>
      </w:pPr>
      <w:r>
        <w:rPr>
          <w:rFonts w:hint="eastAsia" w:ascii="仿宋" w:hAnsi="仿宋" w:eastAsia="仿宋" w:cs="仿宋"/>
          <w:sz w:val="32"/>
          <w:szCs w:val="32"/>
        </w:rPr>
        <w:t>住所（住址）：</w:t>
      </w:r>
      <w:r>
        <w:rPr>
          <w:rFonts w:hint="eastAsia" w:ascii="仿宋" w:hAnsi="仿宋" w:eastAsia="仿宋" w:cs="仿宋"/>
          <w:sz w:val="32"/>
          <w:szCs w:val="32"/>
          <w:u w:val="single"/>
        </w:rPr>
        <w:t>晋江市陈埭镇坊</w:t>
      </w:r>
      <w:bookmarkStart w:id="2" w:name="_GoBack"/>
      <w:bookmarkEnd w:id="2"/>
      <w:r>
        <w:rPr>
          <w:rFonts w:hint="eastAsia" w:ascii="仿宋" w:hAnsi="仿宋" w:eastAsia="仿宋" w:cs="仿宋"/>
          <w:sz w:val="32"/>
          <w:szCs w:val="32"/>
          <w:u w:val="single"/>
        </w:rPr>
        <w:t>脚村工业区西路</w:t>
      </w:r>
      <w:r>
        <w:rPr>
          <w:rFonts w:hint="eastAsia" w:ascii="仿宋" w:hAnsi="仿宋" w:eastAsia="仿宋" w:cs="仿宋"/>
          <w:sz w:val="32"/>
          <w:szCs w:val="32"/>
          <w:u w:val="single"/>
          <w:lang w:val="en-US" w:eastAsia="zh-CN"/>
        </w:rPr>
        <w:t>*</w:t>
      </w:r>
      <w:r>
        <w:rPr>
          <w:rFonts w:hint="eastAsia" w:ascii="仿宋" w:hAnsi="仿宋" w:eastAsia="仿宋" w:cs="仿宋"/>
          <w:sz w:val="32"/>
          <w:szCs w:val="32"/>
          <w:u w:val="single"/>
        </w:rPr>
        <w:t>号</w:t>
      </w:r>
    </w:p>
    <w:p>
      <w:pPr>
        <w:spacing w:line="380" w:lineRule="exact"/>
        <w:rPr>
          <w:rFonts w:hint="eastAsia" w:ascii="仿宋" w:hAnsi="仿宋" w:eastAsia="仿宋" w:cs="仿宋"/>
          <w:sz w:val="32"/>
          <w:szCs w:val="32"/>
          <w:u w:val="single"/>
        </w:rPr>
      </w:pPr>
      <w:r>
        <w:rPr>
          <w:rFonts w:hint="eastAsia" w:ascii="仿宋" w:hAnsi="仿宋" w:eastAsia="仿宋" w:cs="仿宋"/>
          <w:sz w:val="32"/>
          <w:szCs w:val="32"/>
        </w:rPr>
        <w:t>法定代表人（负责人、经营者）：</w:t>
      </w:r>
      <w:r>
        <w:rPr>
          <w:rFonts w:hint="eastAsia" w:ascii="仿宋" w:hAnsi="仿宋" w:eastAsia="仿宋" w:cs="仿宋"/>
          <w:sz w:val="32"/>
          <w:szCs w:val="32"/>
          <w:u w:val="single"/>
        </w:rPr>
        <w:t>林永志</w:t>
      </w:r>
    </w:p>
    <w:p>
      <w:pPr>
        <w:spacing w:line="38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u w:val="single"/>
        </w:rPr>
        <w:t>2024年9月27日本局收到由泉州市市场监督管理局委托泉州市产品质量检验所进行食品安全监督抽查作出的检验报告（No：HY(2024)2057），报告显示 ，当事人生产的豆饼（生产日期：2024-09-08）经抽样检验，苯甲酸及其钠盐（以苯甲酸计）项目，实测值为0.632g/kg，标准指标为不得使用，该项目不符合GB2760-2014《食品安全国家标准 食品添加剂使用标准》要求，检验结论为不合格。2024年9月30日，本局执法人员着装整齐，经出示证件表明身份说明来意后，依法到达晋江市陈埭镇茂全正糕点加工小作坊现场送达上述检验报告，并告知当事人有申请复检的相关权利。当事人对检验结果没有异议。执法人员现场查无被抽检批次豆饼（生产日期2024年9月8日）和苯甲酸及其钠盐相关产品。当事人涉嫌生产经营不符合食品安全标准的豆饼，违反了《中华人民共和国食品安全法》第三十四条第四项的规定，即报领导批准于2024年10月22日立案调查。现场未采取行政强制措施。</w:t>
      </w:r>
    </w:p>
    <w:p>
      <w:pPr>
        <w:spacing w:line="38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rPr>
        <w:t>经查，</w:t>
      </w:r>
      <w:r>
        <w:rPr>
          <w:rFonts w:hint="eastAsia" w:ascii="仿宋" w:hAnsi="仿宋" w:eastAsia="仿宋" w:cs="仿宋"/>
          <w:sz w:val="32"/>
          <w:szCs w:val="32"/>
          <w:u w:val="single"/>
        </w:rPr>
        <w:t xml:space="preserve">2024年9月9日泉州市产品质量检验所在晋江市陈埭镇茂全正糕点加工小作坊抽检的“豆饼”（生产日期：2024-09-08）苯甲酸及其钠盐（以苯甲酸计）项目实测值为0.632g/kg，标准指标为不得使用，该项目不符合GB2760-2014《食品安全国家标准 食品添加剂使用标准》要求，检验结论为不合格。当事人持有营业执照和福建省食品生产加工小作坊登记证，具有合法的生产经营资质。当事人于2024年9月8日共生产涉案“豆饼”36kg（120盒）。当事人生产的上述产品的成本为16元/kg，销售价格为20元/kg。至案发时止，上述产品售出36kg已全部零售于市场终端（含监督抽检1.2kg）。案发后当事人采取召回措施，但未召回到相关涉案产品。据此认定，本案货值金额720元，违法所得720元。 </w:t>
      </w:r>
    </w:p>
    <w:p>
      <w:pPr>
        <w:spacing w:line="38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u w:val="single"/>
        </w:rPr>
        <w:t>当事人于2024年10月7日对其剩余的脱氢乙酸钠（标称生产厂家：南通奥凯生物技术开发有限公司，生产日期2024年6月26日）进行送检，检验结果：苯甲酸及其钠盐（以苯甲酸计）项目为446（单位g/kg）；脱氢乙酸及其钠盐（以脱氢乙酸计）未检出（检测机构：泉州壹合食品研究院，报告编号：YHW20241008078）。当事人陈述从未购进苯甲酸及其钠盐相关产品，分析不合格原因为上述脱氢乙酸钠（标称生产厂家：南通奥凯生物技术开发有限公司，生产日期2024年6月26日）带入。上述脱氢乙酸钠是当事人向盘龙区涛格如百货商行购进的。对盘龙区涛格如百货商行涉嫌销售不合格产品的违法线索，本局已于2024年12月24日移送云南省昆明市盘龙区市场监督管理局。</w:t>
      </w:r>
    </w:p>
    <w:p>
      <w:pPr>
        <w:spacing w:line="38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rPr>
        <w:t>上述事实，主要有以下证据证明：</w:t>
      </w:r>
      <w:r>
        <w:rPr>
          <w:rFonts w:hint="eastAsia" w:ascii="仿宋" w:hAnsi="仿宋" w:eastAsia="仿宋" w:cs="仿宋"/>
          <w:sz w:val="32"/>
          <w:szCs w:val="32"/>
          <w:u w:val="single"/>
        </w:rPr>
        <w:t xml:space="preserve">现场检查笔录、询问笔录、现场照片、当事人营业执照复印件、身份证复印件、福建省食品生产加工小作坊登记证、[No：HY(2024)2057]豆饼（生产日期：2024-09-08）的检验报告、供应商的营业执照、出厂检验合格证明、食品召回计划报告表、召回公告、召回总结报告等。                         </w:t>
      </w:r>
    </w:p>
    <w:p>
      <w:pPr>
        <w:spacing w:line="38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u w:val="single"/>
        </w:rPr>
        <w:t xml:space="preserve">2025年1月2日，本局向当事人送达了《行政处罚告知书》(晋市监罚告〔2025〕19-01号) ，当事人未在法定期限内未提出陈述申辩。         </w:t>
      </w:r>
    </w:p>
    <w:p>
      <w:pPr>
        <w:spacing w:line="38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rPr>
        <w:t>本局认为，</w:t>
      </w:r>
      <w:r>
        <w:rPr>
          <w:rFonts w:hint="eastAsia" w:ascii="仿宋" w:hAnsi="仿宋" w:eastAsia="仿宋" w:cs="仿宋"/>
          <w:sz w:val="32"/>
          <w:szCs w:val="32"/>
          <w:u w:val="single"/>
        </w:rPr>
        <w:t>当事人生产经营苯甲酸及其钠盐（以苯甲酸计）项目不符合GB2760-2014《食品安全国家标准 食品添加剂使用标准》要求的“豆饼”（生产日期：2024-09-08）的行为,参照《泉州市市场监督管理局2019年第二次食品安全专家研讨会会议纪要》（2019年2月3日），当糕点甜品类零食苯甲酸及其钠盐的残留浓度大于9.72g/kg时，属于《最高人民法院最高人民检查院关于办理危害食品安全刑事案件适用法律若干问题的解释》（法释〔2023〕12号）第八条中“超限量或者超范围滥用食品添加剂，足以造成严重食物中毒事故或者其他严重食源性疾病”的情形，涉案批次豆饼苯甲酸及其钠盐（以苯甲酸计）项目实测值为0.632g/kg，低于9.72g/kg，据此认定该批次豆饼不属于“超限量或者超范围滥用食品添加剂，足以造成严重食物中毒事故或者其他严重食源性疾病”的情形。当事人上述行为违反了《中华人民共和国食品安全法》第三十四条第四项的规定，应依据《中华人民共和国食品安全法》第一百二十四条第一款第三项的规定予以处罚。</w:t>
      </w:r>
    </w:p>
    <w:p>
      <w:pPr>
        <w:spacing w:line="38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u w:val="single"/>
        </w:rPr>
        <w:t>鉴于当事人积极配合市场监督管理部门调查，如实陈述违法事实并主动提供证据材料，且当事人为食品生产加工小作坊，违法货值金额较小，经执法人员通过查询福建省一体化大融合行政执法平台、国家企业信用信息公示系统并经当事人确认，此前未发生与此次违法行为同一性质的违法行为，依据《中华人民共和国行政处罚法》第五条“过罚相当原则”及第六条“处罚与教育相结合原则”规定，予以减轻处罚。</w:t>
      </w:r>
    </w:p>
    <w:p>
      <w:pPr>
        <w:spacing w:line="38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rPr>
        <w:t>综上，当事人上述行为违反了</w:t>
      </w:r>
      <w:r>
        <w:rPr>
          <w:rFonts w:hint="eastAsia" w:ascii="仿宋" w:hAnsi="仿宋" w:eastAsia="仿宋" w:cs="仿宋"/>
          <w:sz w:val="32"/>
          <w:szCs w:val="32"/>
          <w:u w:val="single"/>
        </w:rPr>
        <w:t xml:space="preserve">《中华人民共和国食品安全法》第三十四条第四项的规定， </w:t>
      </w:r>
      <w:r>
        <w:rPr>
          <w:rFonts w:hint="eastAsia" w:ascii="仿宋" w:hAnsi="仿宋" w:eastAsia="仿宋" w:cs="仿宋"/>
          <w:sz w:val="32"/>
          <w:szCs w:val="32"/>
        </w:rPr>
        <w:t>依据</w:t>
      </w:r>
      <w:r>
        <w:rPr>
          <w:rFonts w:hint="eastAsia" w:ascii="仿宋" w:hAnsi="仿宋" w:eastAsia="仿宋" w:cs="仿宋"/>
          <w:sz w:val="32"/>
          <w:szCs w:val="32"/>
          <w:u w:val="single"/>
        </w:rPr>
        <w:t>《中华人民共和国行政处罚法》第五条、第六条、第二十八条、《中华人民共和国食品安全法》第一百二十四条第一款第三项的规定，本局责令当事人立即改正上述违法行为并作出处罚如下：</w:t>
      </w:r>
    </w:p>
    <w:p>
      <w:pPr>
        <w:spacing w:line="38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u w:val="single"/>
        </w:rPr>
        <w:t>1、没收违法所得720元；</w:t>
      </w:r>
    </w:p>
    <w:p>
      <w:pPr>
        <w:spacing w:line="38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u w:val="single"/>
        </w:rPr>
        <w:t>2、处以罚款6000元。</w:t>
      </w:r>
    </w:p>
    <w:p>
      <w:pPr>
        <w:spacing w:line="38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u w:val="single"/>
        </w:rPr>
        <w:t>以上款项合计陆仟柒佰贰拾元。当事人应当在接到本行政处罚决定书之日起十五日内，持福建省政府非税收入缴款通知书通过银行网点或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冻结的存款、汇款划拨抵缴罚款；（三）根据法律规定，采取其他行政强制执行方式；（四）依照《中华人民共和国行政强制法》的规定申请人民法院强制执行。</w:t>
      </w:r>
    </w:p>
    <w:p>
      <w:pPr>
        <w:spacing w:line="38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u w:val="single"/>
        </w:rPr>
        <w:t>如不服本处罚决定，可在接到本处罚决定书之日起六十日内向晋江市人民政府申请行政复议，也可以在6个月内依法向洛江区人民法院提起行政诉讼。当事人对行政处罚决定不服而申请行政复议或者提起行政诉讼期间，行政处罚不停止执行，法律、法规、规章另有规定的，从其规定。</w:t>
      </w:r>
    </w:p>
    <w:p>
      <w:pPr>
        <w:spacing w:line="279" w:lineRule="auto"/>
        <w:rPr>
          <w:rFonts w:ascii="Microsoft JhengHei"/>
        </w:rPr>
      </w:pPr>
    </w:p>
    <w:p>
      <w:pPr>
        <w:spacing w:line="279" w:lineRule="auto"/>
        <w:rPr>
          <w:rFonts w:ascii="Microsoft JhengHei" w:eastAsia="宋体"/>
          <w:color w:val="FF0000"/>
        </w:rPr>
      </w:pPr>
      <w:bookmarkStart w:id="0" w:name="thts1"/>
      <w:r>
        <w:rPr>
          <w:rFonts w:ascii="仿宋" w:hAnsi="仿宋" w:eastAsia="仿宋" w:cs="仿宋"/>
          <w:sz w:val="32"/>
        </w:rPr>
        <w:t xml:space="preserve"> </w:t>
      </w:r>
      <w:bookmarkEnd w:id="0"/>
    </w:p>
    <w:p>
      <w:pPr>
        <w:tabs>
          <w:tab w:val="left" w:pos="5667"/>
        </w:tabs>
        <w:wordWrap w:val="0"/>
        <w:bidi/>
        <w:spacing w:line="560" w:lineRule="exact"/>
        <w:ind w:right="840" w:rightChars="400"/>
        <w:rPr>
          <w:rFonts w:ascii="仿宋" w:hAnsi="仿宋" w:eastAsia="仿宋" w:cs="仿宋"/>
          <w:sz w:val="32"/>
          <w:szCs w:val="32"/>
        </w:rPr>
      </w:pPr>
      <w:r>
        <w:rPr>
          <w:rFonts w:hint="eastAsia" w:ascii="仿宋" w:hAnsi="仿宋" w:eastAsia="仿宋" w:cs="仿宋"/>
          <w:sz w:val="32"/>
          <w:szCs w:val="32"/>
        </w:rPr>
        <w:t>晋江市市场监督管理局</w:t>
      </w:r>
    </w:p>
    <w:p>
      <w:pPr>
        <w:tabs>
          <w:tab w:val="left" w:pos="5667"/>
        </w:tabs>
        <w:bidi/>
        <w:spacing w:line="40" w:lineRule="exact"/>
        <w:ind w:firstLine="1650" w:firstLineChars="1500"/>
        <w:rPr>
          <w:rFonts w:ascii="仿宋" w:hAnsi="仿宋" w:eastAsia="仿宋" w:cs="仿宋"/>
          <w:sz w:val="32"/>
          <w:szCs w:val="32"/>
        </w:rPr>
      </w:pPr>
      <w:r>
        <w:rPr>
          <w:rFonts w:ascii="仿宋" w:hAnsi="仿宋" w:eastAsia="仿宋" w:cs="仿宋"/>
          <w:color w:val="FFFFFF" w:themeColor="background1"/>
          <w:sz w:val="11"/>
          <w:szCs w:val="11"/>
          <w14:textFill>
            <w14:solidFill>
              <w14:schemeClr w14:val="bg1"/>
            </w14:solidFill>
          </w14:textFill>
        </w:rPr>
        <w:t>（</w:t>
      </w:r>
      <w:r>
        <w:rPr>
          <w:rFonts w:hint="eastAsia" w:ascii="仿宋" w:hAnsi="仿宋" w:eastAsia="仿宋" w:cs="仿宋"/>
          <w:color w:val="FFFFFF" w:themeColor="background1"/>
          <w:sz w:val="11"/>
          <w:szCs w:val="11"/>
          <w14:textFill>
            <w14:solidFill>
              <w14:schemeClr w14:val="bg1"/>
            </w14:solidFill>
          </w14:textFill>
        </w:rPr>
        <w:t>sealdwy</w:t>
      </w:r>
      <w:r>
        <w:rPr>
          <w:rFonts w:ascii="仿宋" w:hAnsi="仿宋" w:eastAsia="仿宋" w:cs="仿宋"/>
          <w:color w:val="FFFFFF" w:themeColor="background1"/>
          <w:sz w:val="11"/>
          <w:szCs w:val="11"/>
          <w14:textFill>
            <w14:solidFill>
              <w14:schemeClr w14:val="bg1"/>
            </w14:solidFill>
          </w14:textFill>
        </w:rPr>
        <w:t>）</w:t>
      </w:r>
    </w:p>
    <w:p>
      <w:pPr>
        <w:wordWrap w:val="0"/>
        <w:bidi/>
        <w:spacing w:line="560" w:lineRule="exact"/>
        <w:ind w:right="840" w:rightChars="400"/>
        <w:rPr>
          <w:rFonts w:ascii="仿宋" w:hAnsi="仿宋" w:eastAsia="仿宋" w:cs="仿宋"/>
          <w:sz w:val="32"/>
          <w:szCs w:val="32"/>
        </w:rPr>
      </w:pPr>
      <w:r>
        <w:rPr>
          <w:rFonts w:hint="eastAsia" w:ascii="仿宋" w:hAnsi="仿宋" w:eastAsia="仿宋" w:cs="仿宋"/>
          <w:sz w:val="32"/>
          <w:szCs w:val="32"/>
        </w:rPr>
        <w:t>2025年01月10日</w:t>
      </w:r>
    </w:p>
    <w:p>
      <w:pPr>
        <w:spacing w:line="279" w:lineRule="auto"/>
        <w:rPr>
          <w:rFonts w:ascii="Microsoft JhengHei" w:eastAsia="宋体"/>
          <w:color w:val="FF0000"/>
        </w:rPr>
      </w:pPr>
      <w:bookmarkStart w:id="1" w:name="thts2"/>
      <w:r>
        <w:rPr>
          <w:rFonts w:ascii="仿宋" w:hAnsi="仿宋" w:eastAsia="仿宋" w:cs="仿宋"/>
          <w:sz w:val="32"/>
        </w:rPr>
        <w:t xml:space="preserve"> </w:t>
      </w:r>
      <w:bookmarkEnd w:id="1"/>
    </w:p>
    <w:p>
      <w:pPr>
        <w:spacing w:line="256" w:lineRule="auto"/>
        <w:rPr>
          <w:rFonts w:ascii="Microsoft JhengHei"/>
        </w:rPr>
      </w:pPr>
    </w:p>
    <w:p>
      <w:pPr>
        <w:spacing w:before="105" w:line="183" w:lineRule="auto"/>
        <w:ind w:firstLine="403"/>
        <w:jc w:val="center"/>
        <w:rPr>
          <w:rFonts w:ascii="黑体" w:hAnsi="黑体" w:eastAsia="黑体" w:cs="黑体"/>
          <w:color w:val="231F20"/>
          <w:sz w:val="32"/>
          <w:szCs w:val="32"/>
        </w:rPr>
      </w:pPr>
    </w:p>
    <w:p>
      <w:pPr>
        <w:spacing w:before="105" w:line="183" w:lineRule="auto"/>
        <w:ind w:firstLine="403"/>
        <w:jc w:val="center"/>
        <w:rPr>
          <w:rFonts w:ascii="黑体" w:hAnsi="黑体" w:eastAsia="黑体" w:cs="黑体"/>
          <w:color w:val="231F20"/>
          <w:sz w:val="32"/>
          <w:szCs w:val="32"/>
        </w:rPr>
      </w:pPr>
    </w:p>
    <w:p>
      <w:pPr>
        <w:spacing w:before="105" w:line="183" w:lineRule="auto"/>
        <w:ind w:firstLine="403"/>
        <w:jc w:val="center"/>
        <w:rPr>
          <w:rFonts w:ascii="仿宋" w:hAnsi="仿宋" w:eastAsia="仿宋" w:cs="仿宋"/>
          <w:b/>
          <w:bCs/>
          <w:sz w:val="28"/>
          <w:szCs w:val="28"/>
        </w:rPr>
      </w:pPr>
      <w:r>
        <w:rPr>
          <w:rFonts w:hint="eastAsia" w:ascii="仿宋" w:hAnsi="仿宋" w:eastAsia="仿宋" w:cs="仿宋"/>
          <w:b/>
          <w:bCs/>
          <w:sz w:val="28"/>
          <w:szCs w:val="28"/>
        </w:rPr>
        <w:t>（市场监督管理部门将依法向社会公开行政处罚决定信息）</w:t>
      </w:r>
    </w:p>
    <w:p>
      <w:pPr>
        <w:spacing w:line="261" w:lineRule="auto"/>
        <w:rPr>
          <w:rFonts w:ascii="Microsoft JhengHei"/>
        </w:rPr>
      </w:pPr>
    </w:p>
    <w:p>
      <w:pPr>
        <w:spacing w:line="261" w:lineRule="auto"/>
        <w:rPr>
          <w:rFonts w:ascii="Microsoft JhengHei"/>
        </w:rPr>
      </w:pPr>
    </w:p>
    <w:p>
      <w:pPr>
        <w:spacing w:line="26" w:lineRule="exact"/>
        <w:textAlignment w:val="center"/>
      </w:pPr>
      <w:r>
        <w:drawing>
          <wp:inline distT="0" distB="0" distL="0" distR="0">
            <wp:extent cx="5550535" cy="15875"/>
            <wp:effectExtent l="0" t="0" r="12065" b="6985"/>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pPr>
        <w:spacing w:before="106" w:line="183" w:lineRule="auto"/>
        <w:ind w:firstLine="231"/>
      </w:pPr>
      <w:r>
        <w:rPr>
          <w:rFonts w:ascii="仿宋" w:hAnsi="仿宋" w:eastAsia="仿宋" w:cs="仿宋"/>
          <w:sz w:val="32"/>
          <w:szCs w:val="32"/>
        </w:rPr>
        <w:t>本文书一式</w:t>
      </w:r>
      <w:r>
        <w:rPr>
          <w:rFonts w:hint="eastAsia" w:ascii="仿宋" w:hAnsi="仿宋" w:eastAsia="仿宋" w:cs="仿宋"/>
          <w:sz w:val="32"/>
          <w:szCs w:val="32"/>
        </w:rPr>
        <w:t>二</w:t>
      </w:r>
      <w:r>
        <w:rPr>
          <w:rFonts w:ascii="仿宋" w:hAnsi="仿宋" w:eastAsia="仿宋" w:cs="仿宋"/>
          <w:sz w:val="32"/>
          <w:szCs w:val="32"/>
        </w:rPr>
        <w:t>份，</w:t>
      </w:r>
      <w:r>
        <w:rPr>
          <w:rFonts w:hint="eastAsia" w:ascii="仿宋" w:hAnsi="仿宋" w:eastAsia="仿宋" w:cs="仿宋"/>
          <w:sz w:val="32"/>
          <w:szCs w:val="32"/>
        </w:rPr>
        <w:t>一</w:t>
      </w:r>
      <w:r>
        <w:rPr>
          <w:rFonts w:ascii="仿宋" w:hAnsi="仿宋" w:eastAsia="仿宋" w:cs="仿宋"/>
          <w:sz w:val="32"/>
          <w:szCs w:val="32"/>
        </w:rPr>
        <w:t>份送达，</w:t>
      </w:r>
      <w:r>
        <w:rPr>
          <w:rFonts w:hint="eastAsia" w:ascii="仿宋" w:hAnsi="仿宋" w:eastAsia="仿宋" w:cs="仿宋"/>
          <w:sz w:val="32"/>
          <w:szCs w:val="32"/>
        </w:rPr>
        <w:t>一</w:t>
      </w:r>
      <w:r>
        <w:rPr>
          <w:rFonts w:ascii="仿宋" w:hAnsi="仿宋" w:eastAsia="仿宋" w:cs="仿宋"/>
          <w:sz w:val="32"/>
          <w:szCs w:val="32"/>
        </w:rPr>
        <w:t>份归档</w:t>
      </w:r>
      <w:r>
        <w:rPr>
          <w:rFonts w:hint="eastAsia" w:ascii="仿宋" w:hAnsi="仿宋" w:eastAsia="仿宋" w:cs="仿宋"/>
          <w:sz w:val="32"/>
          <w:szCs w:val="32"/>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94644A"/>
    <w:rsid w:val="00523EB0"/>
    <w:rsid w:val="00641728"/>
    <w:rsid w:val="0094644A"/>
    <w:rsid w:val="016A6FD7"/>
    <w:rsid w:val="04293CFB"/>
    <w:rsid w:val="0B3440E4"/>
    <w:rsid w:val="0D447276"/>
    <w:rsid w:val="0DBD22EC"/>
    <w:rsid w:val="0DC12675"/>
    <w:rsid w:val="11621A79"/>
    <w:rsid w:val="14515DD5"/>
    <w:rsid w:val="23AD74CB"/>
    <w:rsid w:val="24B9255E"/>
    <w:rsid w:val="25227A45"/>
    <w:rsid w:val="253A7874"/>
    <w:rsid w:val="264E7E89"/>
    <w:rsid w:val="289A78F2"/>
    <w:rsid w:val="29B35913"/>
    <w:rsid w:val="2A306760"/>
    <w:rsid w:val="2C545A11"/>
    <w:rsid w:val="2F8512FC"/>
    <w:rsid w:val="30175A94"/>
    <w:rsid w:val="353F631E"/>
    <w:rsid w:val="39B20F40"/>
    <w:rsid w:val="3AFB3A56"/>
    <w:rsid w:val="3AFE1F63"/>
    <w:rsid w:val="3BF75330"/>
    <w:rsid w:val="3E8D1F7B"/>
    <w:rsid w:val="414D154E"/>
    <w:rsid w:val="41913B31"/>
    <w:rsid w:val="42E27DDC"/>
    <w:rsid w:val="44185E43"/>
    <w:rsid w:val="452A2718"/>
    <w:rsid w:val="464F5D68"/>
    <w:rsid w:val="474F4272"/>
    <w:rsid w:val="47BA0375"/>
    <w:rsid w:val="4D724A1E"/>
    <w:rsid w:val="526470DD"/>
    <w:rsid w:val="54ED50CA"/>
    <w:rsid w:val="55F46D30"/>
    <w:rsid w:val="591F781C"/>
    <w:rsid w:val="596D6CF1"/>
    <w:rsid w:val="5BF3746A"/>
    <w:rsid w:val="5C58107B"/>
    <w:rsid w:val="5C7B2FBB"/>
    <w:rsid w:val="5C86208C"/>
    <w:rsid w:val="5E457324"/>
    <w:rsid w:val="630B1245"/>
    <w:rsid w:val="63D74F7B"/>
    <w:rsid w:val="65224070"/>
    <w:rsid w:val="658B24C1"/>
    <w:rsid w:val="65CE23AE"/>
    <w:rsid w:val="66C739CD"/>
    <w:rsid w:val="68401E4F"/>
    <w:rsid w:val="69293CA2"/>
    <w:rsid w:val="6A252073"/>
    <w:rsid w:val="6AB959E6"/>
    <w:rsid w:val="6BE5323D"/>
    <w:rsid w:val="6ECA68AA"/>
    <w:rsid w:val="6F842A78"/>
    <w:rsid w:val="72AF2EBE"/>
    <w:rsid w:val="751B33A8"/>
    <w:rsid w:val="77365F93"/>
    <w:rsid w:val="78D37FAF"/>
    <w:rsid w:val="795B53DC"/>
    <w:rsid w:val="7A08324D"/>
    <w:rsid w:val="7B3F115D"/>
    <w:rsid w:val="7C091DFF"/>
    <w:rsid w:val="7C337D02"/>
    <w:rsid w:val="7D0A7D18"/>
    <w:rsid w:val="7DA55C93"/>
    <w:rsid w:val="7F7D0C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iPriority w:val="0"/>
    <w:rPr>
      <w:sz w:val="18"/>
      <w:szCs w:val="18"/>
    </w:rPr>
  </w:style>
  <w:style w:type="paragraph" w:styleId="3">
    <w:name w:val="Title"/>
    <w:basedOn w:val="1"/>
    <w:next w:val="1"/>
    <w:qFormat/>
    <w:uiPriority w:val="0"/>
    <w:pPr>
      <w:spacing w:line="199" w:lineRule="auto"/>
      <w:jc w:val="center"/>
      <w:outlineLvl w:val="0"/>
    </w:pPr>
    <w:rPr>
      <w:rFonts w:ascii="Microsoft JhengHei" w:hAnsi="Microsoft JhengHei" w:eastAsia="Microsoft JhengHei" w:cs="Microsoft JhengHei"/>
      <w:spacing w:val="-2"/>
      <w:sz w:val="44"/>
      <w:szCs w:val="44"/>
    </w:rPr>
  </w:style>
  <w:style w:type="table" w:customStyle="1" w:styleId="6">
    <w:name w:val="Table Normal"/>
    <w:semiHidden/>
    <w:unhideWhenUsed/>
    <w:qFormat/>
    <w:uiPriority w:val="0"/>
    <w:tblPr>
      <w:tblCellMar>
        <w:top w:w="0" w:type="dxa"/>
        <w:left w:w="0" w:type="dxa"/>
        <w:bottom w:w="0" w:type="dxa"/>
        <w:right w:w="0" w:type="dxa"/>
      </w:tblCellMar>
    </w:tblPr>
  </w:style>
  <w:style w:type="character" w:customStyle="1" w:styleId="7">
    <w:name w:val="批注框文本 Char"/>
    <w:basedOn w:val="5"/>
    <w:link w:val="2"/>
    <w:uiPriority w:val="0"/>
    <w:rPr>
      <w:rFonts w:ascii="Arial" w:hAnsi="Arial" w:eastAsia="Arial" w:cs="Arial"/>
      <w:snapToGrid w:val="0"/>
      <w:color w:val="00000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424</Words>
  <Characters>2419</Characters>
  <Lines>20</Lines>
  <Paragraphs>5</Paragraphs>
  <TotalTime>3</TotalTime>
  <ScaleCrop>false</ScaleCrop>
  <LinksUpToDate>false</LinksUpToDate>
  <CharactersWithSpaces>2838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2024-02-28T02:14:00Z</dcterms:created>
  <dc:creator>admin</dc:creator>
  <cp:lastModifiedBy>施婉弘</cp:lastModifiedBy>
  <dcterms:modified xsi:type="dcterms:W3CDTF">2025-02-07T08:56:16Z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05DADCEE7956464DA29C41854F8F80DF</vt:lpwstr>
  </property>
</Properties>
</file>